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4" w:rsidRDefault="00233824" w:rsidP="00233824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ПОСТАНОВЛЕНИЕ</w:t>
      </w:r>
    </w:p>
    <w:p w:rsidR="00233824" w:rsidRDefault="00233824" w:rsidP="00233824">
      <w:pPr>
        <w:pStyle w:val="HTML"/>
        <w:shd w:val="clear" w:color="auto" w:fill="FFFFFF"/>
        <w:jc w:val="center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АДМИНИСТРАЦИИ ШИРИНСКОГО СЕЛЬСОВЕТА</w:t>
      </w:r>
    </w:p>
    <w:p w:rsidR="00233824" w:rsidRDefault="00233824" w:rsidP="00233824">
      <w:pPr>
        <w:pStyle w:val="HTML"/>
        <w:shd w:val="clear" w:color="auto" w:fill="FFFFFF"/>
        <w:rPr>
          <w:color w:val="7F7F7F"/>
          <w:sz w:val="18"/>
          <w:szCs w:val="18"/>
        </w:rPr>
      </w:pPr>
      <w:r>
        <w:rPr>
          <w:rStyle w:val="a6"/>
          <w:color w:val="0072BC"/>
          <w:sz w:val="18"/>
          <w:szCs w:val="18"/>
        </w:rPr>
        <w:t> </w:t>
      </w:r>
    </w:p>
    <w:p w:rsidR="00233824" w:rsidRDefault="00233824" w:rsidP="00233824">
      <w:pPr>
        <w:pStyle w:val="HTML"/>
        <w:shd w:val="clear" w:color="auto" w:fill="FFFFFF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от 09.04. 2013г.                                            № 63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«Об утверждении </w:t>
      </w:r>
      <w:hyperlink r:id="rId5" w:anchor="Par29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Порядк</w:t>
        </w:r>
      </w:hyperlink>
      <w:r>
        <w:rPr>
          <w:rStyle w:val="a6"/>
          <w:rFonts w:ascii="Arial" w:hAnsi="Arial" w:cs="Arial"/>
          <w:color w:val="0072BC"/>
          <w:sz w:val="18"/>
          <w:szCs w:val="18"/>
        </w:rPr>
        <w:t>а разработки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и утверждения схемы размещения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нестационарных торговых объектов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на территории муниципального образования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Ширинский сельсовет»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28.12.2009 N 381-ФЗ «Об основах государственного регулирования торговой деятельности в Российской Федерации» (с последующими изменениями) и Порядком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Хакасия, утвержденным приказом Министерства регионального развития Республики Хакасия от 25.05.2011 N 090-125-п, администрация Ширинского сельсовета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ПОСТАНОВЛЯЕТ: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прилагаемый </w:t>
      </w:r>
      <w:hyperlink r:id="rId7" w:anchor="Par2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Порядок</w:t>
        </w:r>
      </w:hyperlink>
      <w:r>
        <w:rPr>
          <w:rFonts w:ascii="Arial" w:hAnsi="Arial" w:cs="Arial"/>
          <w:color w:val="7F7F7F"/>
          <w:sz w:val="18"/>
          <w:szCs w:val="18"/>
        </w:rPr>
        <w:t> разработки и утверждения схемы размещения нестационарных торговых объектов на территории муниципального образования Ширинский сельсовет.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  Постановление  вступает в законную силу со дня его  официального опубликования (обнародования).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  Контроль за настоящим постановлением оставляю за собой.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                                                           Ю.С. Ковалев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Приложение № 1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к постановлению Администрации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Ширинского сельсовета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 xml:space="preserve">от 09.04.2013г. № </w:t>
      </w:r>
      <w:r>
        <w:rPr>
          <w:rStyle w:val="a6"/>
          <w:rFonts w:ascii="Arial" w:hAnsi="Arial" w:cs="Arial"/>
          <w:color w:val="0072BC"/>
          <w:sz w:val="18"/>
          <w:szCs w:val="18"/>
        </w:rPr>
        <w:softHyphen/>
      </w:r>
      <w:r>
        <w:rPr>
          <w:rStyle w:val="a6"/>
          <w:rFonts w:ascii="Arial" w:hAnsi="Arial" w:cs="Arial"/>
          <w:color w:val="0072BC"/>
          <w:sz w:val="18"/>
          <w:szCs w:val="18"/>
        </w:rPr>
        <w:softHyphen/>
      </w:r>
      <w:r>
        <w:rPr>
          <w:rStyle w:val="a6"/>
          <w:rFonts w:ascii="Arial" w:hAnsi="Arial" w:cs="Arial"/>
          <w:color w:val="0072BC"/>
          <w:sz w:val="18"/>
          <w:szCs w:val="18"/>
        </w:rPr>
        <w:softHyphen/>
        <w:t>63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anchor="Par29" w:history="1">
        <w:r>
          <w:rPr>
            <w:rStyle w:val="a4"/>
            <w:rFonts w:ascii="Arial" w:hAnsi="Arial" w:cs="Arial"/>
            <w:b/>
            <w:bCs/>
            <w:color w:val="7F7F7F"/>
            <w:sz w:val="18"/>
            <w:szCs w:val="18"/>
          </w:rPr>
          <w:t>Порядок</w:t>
        </w:r>
      </w:hyperlink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разработки и утверждения схемы размещения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нестационарных торговых объектов на территории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муниципального образования Ширинский сельсовет.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Общие положения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 Настоящий Порядок разработан в целях реализации Федерального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закона</w:t>
        </w:r>
      </w:hyperlink>
      <w:r>
        <w:rPr>
          <w:rFonts w:ascii="Arial" w:hAnsi="Arial" w:cs="Arial"/>
          <w:color w:val="7F7F7F"/>
          <w:sz w:val="18"/>
          <w:szCs w:val="18"/>
        </w:rPr>
        <w:t> от 28.12.2009 N 381-ФЗ «Об основах государственного регулирования торговой деятельности в Российской Федерации (с последующими изменениями),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Постановления</w:t>
        </w:r>
      </w:hyperlink>
      <w:r>
        <w:rPr>
          <w:rFonts w:ascii="Arial" w:hAnsi="Arial" w:cs="Arial"/>
          <w:color w:val="7F7F7F"/>
          <w:sz w:val="18"/>
          <w:szCs w:val="18"/>
        </w:rPr>
        <w:t> Правительства Российской Федерации от 29.09.2010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и в соответствии с «Порядком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Хакасия», утвержденным приказом Министерства регионального развития Республики Хакасия от 25.05.2011 N 090-125-пи и определяет основные требования к разработке и утверждению схемы размещения нестационарных торговых объектов на территории муниципального образования Ширинский сельсовет (далее — схема).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1.2. Размещение нестационарных торговых объектов на территории муниципального образования Ширинский сельсовет осуществляется в соответствии со схемой, с учетом необходимости устойчивого развития территорий, в том числе исключения негативного влияния на инфраструктуру муниципального образования и достижения нормативов минимальной обеспеченности населения площадью торговых объектов в муниципальных районах и городских округах Республики Хакасия.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1.3. Схема разрабатывается и утверждается администрацией Ширинского сельсовета.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1.4. К нестационарным торговым объектам относятся торговые объекты, представляющие собой временные сооружения или временные конструкции,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передвижных сооружений: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павильон — строение, имеющее торговый зал и рассчитанное на одно или несколько рабочих мест;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киоск — строение, которое не имеет торгового зала и рассчитано на одно рабочее место продавца;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торговый автомат — временное техническое сооружение или конструкция, предназначенные для продажи штучных товаров без участия продавца;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бахчевой развал — специально оборудованная временная конструкция, представляющая собой площадку для продажи бахчи;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5) елочный базар — специально оборудованная временная конструкция, представляющая собой площадку для продажи натуральных елок, сосен, пихт;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6) сезонное кафе —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питания, для дополнительного обслуживания питанием и (или) отдыха потребителей;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7) передвижные сооружения: автомагазины (автолавки, автоприцепы), автокафе, изотермические емкости и цистерны, тележки, лотки, палатки и иные специальные приспособления.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1.5. Настоящий Порядок не распространяется на временное размещение нестационарных торговых объектов при проведении спортивно-зрелищных, культурно-массовых мероприятий, размещение разносчиков-продавцов, осуществляющих разносную торговлю с рук с применением специального оборудования.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Требования, предъявляемые к разработке схемы.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2.1. </w:t>
      </w:r>
      <w:hyperlink r:id="rId11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Схема</w:t>
        </w:r>
      </w:hyperlink>
      <w:r>
        <w:rPr>
          <w:rFonts w:ascii="Arial" w:hAnsi="Arial" w:cs="Arial"/>
          <w:color w:val="7F7F7F"/>
          <w:sz w:val="18"/>
          <w:szCs w:val="18"/>
        </w:rPr>
        <w:t xml:space="preserve"> должна содержать следующие сведения: вид нестационарного торгового объекта, место размещения и адрес, размер площади места размещения торгового объекта, специализация, период </w:t>
      </w:r>
      <w:r>
        <w:rPr>
          <w:rFonts w:ascii="Arial" w:hAnsi="Arial" w:cs="Arial"/>
          <w:color w:val="7F7F7F"/>
          <w:sz w:val="18"/>
          <w:szCs w:val="18"/>
        </w:rPr>
        <w:lastRenderedPageBreak/>
        <w:t>размещения, а также иная дополнительная информация, подтверждающая сведения о нестационарных торговых объектах, используемых субъектами малого или среднего предпринимательства, осуществляющими торговую деятельность (согласно приложению).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2.2. </w:t>
      </w:r>
      <w:hyperlink r:id="rId12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Схемой</w:t>
        </w:r>
      </w:hyperlink>
      <w:r>
        <w:rPr>
          <w:rFonts w:ascii="Arial" w:hAnsi="Arial" w:cs="Arial"/>
          <w:color w:val="7F7F7F"/>
          <w:sz w:val="18"/>
          <w:szCs w:val="18"/>
        </w:rPr>
        <w:t> 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Специализация нестационарного торгового объекта —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 Реализация иных дополнительных групп товаров (услуг) осуществляется в соответствии с установленной номенклатурой.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Специализация нестационарного торгового объекта указывается в его наименовании, например, «Хлеб», «Овощи и фрукты», «Цветы», «Мороженое», «Кафе», «Ремонт обуви» и т.д.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 осуществлении торговой деятельности в нестационарном торговом объекте должны соблюдаться специализация нестационарного торгового объекта, минимальный ассортиментный перечень, который должен быть постоянно в продаже, номенклатура дополнительных групп товаров в соответствии со специализацией.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Период размещения нестационарных торговых объектов устанавливается в </w:t>
      </w:r>
      <w:hyperlink r:id="rId13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схеме</w:t>
        </w:r>
      </w:hyperlink>
      <w:r>
        <w:rPr>
          <w:rFonts w:ascii="Arial" w:hAnsi="Arial" w:cs="Arial"/>
          <w:color w:val="7F7F7F"/>
          <w:sz w:val="18"/>
          <w:szCs w:val="18"/>
        </w:rPr>
        <w:t> 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объектов: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для мест размещения передвижных сооружений по реализации цветов, овощей, фруктов, мороженого, прохладительных напитков, кваса, в том числе в розлив, — с 1 апреля по 1 ноября;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для мест размещения елочных базаров — с 20 по 31 декабря;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для мест размещения бахчевых развалов — с 1 августа по 1 ноября;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4) для иных нестационарных торговых объектов определяется администрацией Ширинского сельсовета, с учетом необходимости обеспечения устойчивого развития территории.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Периоды размещения отдельных видов нестационарных торговых объектов могут  корректироваться администрацией Ширинского сельсовета один раз в полгода.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Не допускается включать в </w:t>
      </w:r>
      <w:hyperlink r:id="rId14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схемы</w:t>
        </w:r>
      </w:hyperlink>
      <w:r>
        <w:rPr>
          <w:rFonts w:ascii="Arial" w:hAnsi="Arial" w:cs="Arial"/>
          <w:color w:val="7F7F7F"/>
          <w:sz w:val="18"/>
          <w:szCs w:val="18"/>
        </w:rPr>
        <w:t> следующие места размещения: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арку здания, газон, цветник, площадку (детскую, отдыха, спортивную) ближе 5 метров от окон зданий и витрин стационарных торговых объектов;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охранную зону инженерных сетей.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2.6. В случае размещения нестационарных торговых объектов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 (в том числе при наличии опор освещения и других опор, стволов деревьев) по основному ходу движения пешеходов не менее 3 метров, а в поперечном направлении и от крайнего элемента объекта до края проезжей части — не менее 1,5 метра.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Требования к утверждению </w:t>
      </w:r>
      <w:hyperlink r:id="rId15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схемы</w:t>
        </w:r>
      </w:hyperlink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3.1. Схема утверждается администрацией Ширинского сельсовета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федеральными законами требованиями.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3.2. Утверждение </w:t>
      </w:r>
      <w:hyperlink r:id="rId16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схемы</w:t>
        </w:r>
      </w:hyperlink>
      <w:r>
        <w:rPr>
          <w:rFonts w:ascii="Arial" w:hAnsi="Arial" w:cs="Arial"/>
          <w:color w:val="7F7F7F"/>
          <w:sz w:val="18"/>
          <w:szCs w:val="18"/>
        </w:rPr>
        <w:t> 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 </w:t>
      </w:r>
      <w:hyperlink r:id="rId17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схемы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3.3. </w:t>
      </w:r>
      <w:hyperlink r:id="rId18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Схема</w:t>
        </w:r>
      </w:hyperlink>
      <w:r>
        <w:rPr>
          <w:rFonts w:ascii="Arial" w:hAnsi="Arial" w:cs="Arial"/>
          <w:color w:val="7F7F7F"/>
          <w:sz w:val="18"/>
          <w:szCs w:val="18"/>
        </w:rPr>
        <w:t> и вносимые в нее изменения подлежат опубликованию в порядке, установленном для официального опубликования муниципальных правовых актов администрации Ширинского сельсовета, а также размещению на официальном сайте Ширинского сельсовета – Шира.РФ в информационно-телекоммуникационной сети Интернет.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3.4. После утверждения </w:t>
      </w:r>
      <w:hyperlink r:id="rId19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схемы</w:t>
        </w:r>
      </w:hyperlink>
      <w:r>
        <w:rPr>
          <w:rFonts w:ascii="Arial" w:hAnsi="Arial" w:cs="Arial"/>
          <w:color w:val="7F7F7F"/>
          <w:sz w:val="18"/>
          <w:szCs w:val="18"/>
        </w:rPr>
        <w:t> или внесенных в нее изменений администрация Ширинского сельсовета в десятидневный срок представляет в Минрегион Хакасии </w:t>
      </w:r>
      <w:hyperlink r:id="rId20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схему</w:t>
        </w:r>
      </w:hyperlink>
      <w:r>
        <w:rPr>
          <w:rFonts w:ascii="Arial" w:hAnsi="Arial" w:cs="Arial"/>
          <w:color w:val="7F7F7F"/>
          <w:sz w:val="18"/>
          <w:szCs w:val="18"/>
        </w:rPr>
        <w:t> в электронном виде для размещения схемы и вносимые в нее изменений на официальном портале исполнительных органов государственной власти Республики Хакасия в установленном порядке.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Порядку разработки и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утверждения </w:t>
      </w:r>
      <w:hyperlink r:id="rId21" w:anchor="Par9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схем</w:t>
        </w:r>
      </w:hyperlink>
      <w:r>
        <w:rPr>
          <w:rFonts w:ascii="Arial" w:hAnsi="Arial" w:cs="Arial"/>
          <w:color w:val="7F7F7F"/>
          <w:sz w:val="18"/>
          <w:szCs w:val="18"/>
        </w:rPr>
        <w:t> размещения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нестационарных торговых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объектов на территории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СХЕМА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размещения нестационарных торговых объектов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территории муниципального образования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</w:t>
      </w:r>
    </w:p>
    <w:p w:rsidR="00233824" w:rsidRDefault="00233824" w:rsidP="002338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состоянию на _________________ 20__ г.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94"/>
        <w:gridCol w:w="1514"/>
        <w:gridCol w:w="1754"/>
        <w:gridCol w:w="1634"/>
        <w:gridCol w:w="1874"/>
      </w:tblGrid>
      <w:tr w:rsidR="00233824" w:rsidTr="00233824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п/п</w:t>
            </w:r>
          </w:p>
        </w:tc>
        <w:tc>
          <w:tcPr>
            <w:tcW w:w="199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Вид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нестационарного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торгового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объекта</w:t>
            </w:r>
          </w:p>
        </w:tc>
        <w:tc>
          <w:tcPr>
            <w:tcW w:w="151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Место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размещения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и адрес</w:t>
            </w:r>
          </w:p>
        </w:tc>
        <w:tc>
          <w:tcPr>
            <w:tcW w:w="175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Специализация</w:t>
            </w:r>
          </w:p>
        </w:tc>
        <w:tc>
          <w:tcPr>
            <w:tcW w:w="163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Период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размещения</w:t>
            </w:r>
          </w:p>
        </w:tc>
        <w:tc>
          <w:tcPr>
            <w:tcW w:w="187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Иная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дополнительная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информация</w:t>
            </w:r>
          </w:p>
        </w:tc>
      </w:tr>
      <w:tr w:rsidR="00233824" w:rsidTr="00233824">
        <w:trPr>
          <w:tblCellSpacing w:w="0" w:type="dxa"/>
        </w:trPr>
        <w:tc>
          <w:tcPr>
            <w:tcW w:w="58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  <w:tc>
          <w:tcPr>
            <w:tcW w:w="199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</w:t>
            </w:r>
          </w:p>
        </w:tc>
        <w:tc>
          <w:tcPr>
            <w:tcW w:w="175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</w:t>
            </w:r>
          </w:p>
        </w:tc>
        <w:tc>
          <w:tcPr>
            <w:tcW w:w="163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FFFFFF"/>
            <w:hideMark/>
          </w:tcPr>
          <w:p w:rsidR="00233824" w:rsidRDefault="00233824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</w:t>
            </w:r>
          </w:p>
        </w:tc>
      </w:tr>
    </w:tbl>
    <w:p w:rsidR="003554B0" w:rsidRPr="00233824" w:rsidRDefault="00233824" w:rsidP="00233824">
      <w:bookmarkStart w:id="0" w:name="_GoBack"/>
      <w:bookmarkEnd w:id="0"/>
    </w:p>
    <w:sectPr w:rsidR="003554B0" w:rsidRPr="0023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y4a.xn--p1ai/?p=1839" TargetMode="External"/><Relationship Id="rId13" Type="http://schemas.openxmlformats.org/officeDocument/2006/relationships/hyperlink" Target="http://xn--80apy4a.xn--p1ai/?p=1839" TargetMode="External"/><Relationship Id="rId18" Type="http://schemas.openxmlformats.org/officeDocument/2006/relationships/hyperlink" Target="http://xn--80apy4a.xn--p1ai/?p=18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py4a.xn--p1ai/?p=1839" TargetMode="External"/><Relationship Id="rId7" Type="http://schemas.openxmlformats.org/officeDocument/2006/relationships/hyperlink" Target="http://xn--80apy4a.xn--p1ai/?p=1839" TargetMode="External"/><Relationship Id="rId12" Type="http://schemas.openxmlformats.org/officeDocument/2006/relationships/hyperlink" Target="http://xn--80apy4a.xn--p1ai/?p=1839" TargetMode="External"/><Relationship Id="rId17" Type="http://schemas.openxmlformats.org/officeDocument/2006/relationships/hyperlink" Target="http://xn--80apy4a.xn--p1ai/?p=1839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py4a.xn--p1ai/?p=1839" TargetMode="External"/><Relationship Id="rId20" Type="http://schemas.openxmlformats.org/officeDocument/2006/relationships/hyperlink" Target="http://xn--80apy4a.xn--p1ai/?p=183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9E91626D7BC8016C61C5AA790A8FB4C33F48B0CE1C07E2D18D5F93CFABF710D8CB9DE3A738A77eBH0B" TargetMode="External"/><Relationship Id="rId11" Type="http://schemas.openxmlformats.org/officeDocument/2006/relationships/hyperlink" Target="http://xn--80apy4a.xn--p1ai/?p=1839" TargetMode="External"/><Relationship Id="rId5" Type="http://schemas.openxmlformats.org/officeDocument/2006/relationships/hyperlink" Target="http://xn--80apy4a.xn--p1ai/?p=1839" TargetMode="External"/><Relationship Id="rId15" Type="http://schemas.openxmlformats.org/officeDocument/2006/relationships/hyperlink" Target="http://xn--80apy4a.xn--p1ai/?p=183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39E91626D7BC8016C61C5AA790A8FB4C30F28805E6C07E2D18D5F93CeFHAB" TargetMode="External"/><Relationship Id="rId19" Type="http://schemas.openxmlformats.org/officeDocument/2006/relationships/hyperlink" Target="http://xn--80apy4a.xn--p1ai/?p=1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9E91626D7BC8016C61C5AA790A8FB4C33F48B0CE1C07E2D18D5F93CeFHAB" TargetMode="External"/><Relationship Id="rId14" Type="http://schemas.openxmlformats.org/officeDocument/2006/relationships/hyperlink" Target="http://xn--80apy4a.xn--p1ai/?p=18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1586</Words>
  <Characters>9041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139</cp:revision>
  <dcterms:created xsi:type="dcterms:W3CDTF">2021-09-02T01:10:00Z</dcterms:created>
  <dcterms:modified xsi:type="dcterms:W3CDTF">2021-09-02T06:21:00Z</dcterms:modified>
</cp:coreProperties>
</file>